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30411" w14:textId="067E6116" w:rsidR="00A03CF6" w:rsidRDefault="001948BF">
      <w:r>
        <w:t xml:space="preserve">May </w:t>
      </w:r>
      <w:r w:rsidR="007F025E">
        <w:t>XX</w:t>
      </w:r>
      <w:r w:rsidR="00A03CF6">
        <w:t>, 2022</w:t>
      </w:r>
    </w:p>
    <w:p w14:paraId="230B7021" w14:textId="08D9564B" w:rsidR="00A03CF6" w:rsidRDefault="00A03CF6"/>
    <w:p w14:paraId="078E78BF" w14:textId="1DAD5DBF" w:rsidR="00A03CF6" w:rsidRDefault="00DB0C99">
      <w:r>
        <w:t xml:space="preserve">The Honorable </w:t>
      </w:r>
      <w:r w:rsidR="00307C62">
        <w:t>Patty Murray</w:t>
      </w:r>
      <w:r w:rsidR="00FF3B74">
        <w:t xml:space="preserve"> </w:t>
      </w:r>
      <w:r w:rsidR="00FF3B74">
        <w:tab/>
      </w:r>
      <w:r w:rsidR="00FF3B74">
        <w:tab/>
      </w:r>
      <w:r w:rsidR="00FF3B74">
        <w:tab/>
      </w:r>
      <w:r w:rsidR="00307C62">
        <w:tab/>
      </w:r>
      <w:proofErr w:type="gramStart"/>
      <w:r w:rsidR="00FF3B74">
        <w:t>The</w:t>
      </w:r>
      <w:proofErr w:type="gramEnd"/>
      <w:r w:rsidR="00FF3B74">
        <w:t xml:space="preserve"> Honorable </w:t>
      </w:r>
      <w:r w:rsidR="00307C62">
        <w:t>Richard Burr</w:t>
      </w:r>
    </w:p>
    <w:p w14:paraId="7E8FC403" w14:textId="0D3D57DA" w:rsidR="00DB0C99" w:rsidRDefault="00FF3B74">
      <w:r>
        <w:t>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7C62">
        <w:tab/>
      </w:r>
      <w:r>
        <w:t>Ranking Member</w:t>
      </w:r>
    </w:p>
    <w:p w14:paraId="6FBB3907" w14:textId="207F10DF" w:rsidR="00FF3B74" w:rsidRDefault="00307C62">
      <w:r>
        <w:t>HELP Committee</w:t>
      </w:r>
      <w:r w:rsidR="00FF3B74">
        <w:tab/>
      </w:r>
      <w:r w:rsidR="00FF3B74">
        <w:tab/>
      </w:r>
      <w:r>
        <w:tab/>
      </w:r>
      <w:r>
        <w:tab/>
      </w:r>
      <w:r>
        <w:tab/>
        <w:t>HELP Committee</w:t>
      </w:r>
    </w:p>
    <w:p w14:paraId="58B38B62" w14:textId="24F694FE" w:rsidR="00FF3B74" w:rsidRDefault="00307C62">
      <w:r>
        <w:t>United States Senate</w:t>
      </w:r>
      <w:r>
        <w:tab/>
      </w:r>
      <w:r>
        <w:tab/>
      </w:r>
      <w:r w:rsidR="00FF3B74">
        <w:tab/>
      </w:r>
      <w:r w:rsidR="00FF3B74">
        <w:tab/>
      </w:r>
      <w:r w:rsidR="00FF3B74">
        <w:tab/>
        <w:t>U</w:t>
      </w:r>
      <w:r>
        <w:t>nited States</w:t>
      </w:r>
      <w:r w:rsidR="00FF3B74">
        <w:t xml:space="preserve"> </w:t>
      </w:r>
      <w:r>
        <w:t>Senate</w:t>
      </w:r>
    </w:p>
    <w:p w14:paraId="3DCABB92" w14:textId="491DDC09" w:rsidR="00FF3B74" w:rsidRDefault="00307C62">
      <w:r>
        <w:t xml:space="preserve">428 </w:t>
      </w:r>
      <w:r w:rsidR="002B55F8">
        <w:t xml:space="preserve">Dirksen </w:t>
      </w:r>
      <w:r>
        <w:t>Senate Office Building</w:t>
      </w:r>
      <w:r w:rsidR="00FF3B74">
        <w:tab/>
      </w:r>
      <w:r w:rsidR="00FF3B74">
        <w:tab/>
      </w:r>
      <w:r w:rsidR="00FF3B74">
        <w:tab/>
      </w:r>
      <w:r w:rsidR="002B55F8">
        <w:t>217 Russell Senate</w:t>
      </w:r>
      <w:r>
        <w:t xml:space="preserve"> Office Building</w:t>
      </w:r>
    </w:p>
    <w:p w14:paraId="5ED6E34D" w14:textId="3238AE09" w:rsidR="00FF3B74" w:rsidRDefault="00FF3B74">
      <w:r>
        <w:t>Washington, DC 205</w:t>
      </w:r>
      <w:r w:rsidR="00307C62">
        <w:t>10</w:t>
      </w:r>
      <w:r>
        <w:tab/>
      </w:r>
      <w:r>
        <w:tab/>
      </w:r>
      <w:r>
        <w:tab/>
      </w:r>
      <w:r>
        <w:tab/>
        <w:t>Washington, DC 205</w:t>
      </w:r>
      <w:r w:rsidR="00307C62">
        <w:t>10</w:t>
      </w:r>
    </w:p>
    <w:p w14:paraId="5E7E34AB" w14:textId="77777777" w:rsidR="000911F1" w:rsidRDefault="000911F1"/>
    <w:p w14:paraId="06F87560" w14:textId="77777777" w:rsidR="00A432C1" w:rsidRDefault="00A432C1"/>
    <w:p w14:paraId="2F8B57FB" w14:textId="78624B13" w:rsidR="00F14DB2" w:rsidRDefault="00992586">
      <w:r>
        <w:t xml:space="preserve">Dear </w:t>
      </w:r>
      <w:r w:rsidR="002B55F8">
        <w:t>Chair Murray and Ranking Member Burr</w:t>
      </w:r>
      <w:r w:rsidR="000911F1">
        <w:t>,</w:t>
      </w:r>
    </w:p>
    <w:p w14:paraId="769E6CD5" w14:textId="36C2148D" w:rsidR="00992586" w:rsidRDefault="00992586"/>
    <w:p w14:paraId="577845A1" w14:textId="2B40867E" w:rsidR="00700B3E" w:rsidRDefault="00722ECC" w:rsidP="00D11AB2">
      <w:pPr>
        <w:rPr>
          <w:rFonts w:cstheme="minorHAnsi"/>
        </w:rPr>
      </w:pPr>
      <w:r w:rsidRPr="00D14BCB">
        <w:rPr>
          <w:rFonts w:cstheme="minorHAnsi"/>
        </w:rPr>
        <w:t xml:space="preserve">The undersigned organizations write </w:t>
      </w:r>
      <w:r w:rsidR="00D11AB2" w:rsidRPr="00D14BCB">
        <w:rPr>
          <w:rFonts w:cstheme="minorHAnsi"/>
        </w:rPr>
        <w:t xml:space="preserve">in </w:t>
      </w:r>
      <w:r w:rsidR="001948BF">
        <w:rPr>
          <w:rFonts w:cstheme="minorHAnsi"/>
        </w:rPr>
        <w:t xml:space="preserve">strong </w:t>
      </w:r>
      <w:r w:rsidR="00D11AB2" w:rsidRPr="00D14BCB">
        <w:rPr>
          <w:rFonts w:cstheme="minorHAnsi"/>
        </w:rPr>
        <w:t>support</w:t>
      </w:r>
      <w:r w:rsidRPr="00D14BCB">
        <w:rPr>
          <w:rFonts w:cstheme="minorHAnsi"/>
        </w:rPr>
        <w:t xml:space="preserve"> of </w:t>
      </w:r>
      <w:r w:rsidR="001948BF">
        <w:rPr>
          <w:rFonts w:cstheme="minorHAnsi"/>
        </w:rPr>
        <w:t xml:space="preserve">Section </w:t>
      </w:r>
      <w:r w:rsidR="002B55F8">
        <w:rPr>
          <w:rFonts w:cstheme="minorHAnsi"/>
        </w:rPr>
        <w:t>8</w:t>
      </w:r>
      <w:r w:rsidR="001948BF">
        <w:rPr>
          <w:rFonts w:cstheme="minorHAnsi"/>
        </w:rPr>
        <w:t xml:space="preserve"> of the </w:t>
      </w:r>
      <w:r w:rsidR="002B55F8">
        <w:rPr>
          <w:rFonts w:cstheme="minorHAnsi"/>
        </w:rPr>
        <w:t>Mental Health Reform Reauthorization Act of 2022</w:t>
      </w:r>
      <w:r w:rsidR="001948BF">
        <w:rPr>
          <w:rFonts w:cstheme="minorHAnsi"/>
        </w:rPr>
        <w:t xml:space="preserve"> </w:t>
      </w:r>
      <w:r w:rsidR="002B55F8">
        <w:rPr>
          <w:rFonts w:cstheme="minorHAnsi"/>
        </w:rPr>
        <w:t>(S</w:t>
      </w:r>
      <w:r w:rsidR="001948BF">
        <w:rPr>
          <w:rFonts w:cstheme="minorHAnsi"/>
        </w:rPr>
        <w:t xml:space="preserve">. </w:t>
      </w:r>
      <w:r w:rsidR="00D515C5">
        <w:rPr>
          <w:rFonts w:cstheme="minorHAnsi"/>
        </w:rPr>
        <w:t>4170</w:t>
      </w:r>
      <w:r w:rsidR="002B55F8">
        <w:rPr>
          <w:rFonts w:cstheme="minorHAnsi"/>
        </w:rPr>
        <w:t>, Cassidy</w:t>
      </w:r>
      <w:r w:rsidR="00C77424">
        <w:rPr>
          <w:rFonts w:cstheme="minorHAnsi"/>
        </w:rPr>
        <w:t>/Murphy</w:t>
      </w:r>
      <w:r w:rsidR="001948BF">
        <w:rPr>
          <w:rFonts w:cstheme="minorHAnsi"/>
        </w:rPr>
        <w:t xml:space="preserve">), which </w:t>
      </w:r>
      <w:r w:rsidR="005E10DD">
        <w:rPr>
          <w:rFonts w:cstheme="minorHAnsi"/>
        </w:rPr>
        <w:t xml:space="preserve">would </w:t>
      </w:r>
      <w:r w:rsidR="00593008">
        <w:rPr>
          <w:rFonts w:cstheme="minorHAnsi"/>
        </w:rPr>
        <w:t>end harmful opt outs from federal mental health and addiction parity requirements for nonfederal</w:t>
      </w:r>
      <w:r w:rsidR="005E10DD">
        <w:rPr>
          <w:rFonts w:cstheme="minorHAnsi"/>
        </w:rPr>
        <w:t xml:space="preserve"> government</w:t>
      </w:r>
      <w:r w:rsidR="00593008">
        <w:rPr>
          <w:rFonts w:cstheme="minorHAnsi"/>
        </w:rPr>
        <w:t xml:space="preserve"> plans.</w:t>
      </w:r>
      <w:r w:rsidR="00700B3E">
        <w:rPr>
          <w:rFonts w:cstheme="minorHAnsi"/>
        </w:rPr>
        <w:t xml:space="preserve"> </w:t>
      </w:r>
    </w:p>
    <w:p w14:paraId="6BC93BBB" w14:textId="77777777" w:rsidR="00700B3E" w:rsidRDefault="00700B3E" w:rsidP="00D11AB2">
      <w:pPr>
        <w:rPr>
          <w:rFonts w:cstheme="minorHAnsi"/>
        </w:rPr>
      </w:pPr>
    </w:p>
    <w:p w14:paraId="043BFB84" w14:textId="3C142481" w:rsidR="00D11AB2" w:rsidRPr="00A77B1F" w:rsidRDefault="00593008" w:rsidP="00D11AB2">
      <w:pPr>
        <w:rPr>
          <w:rFonts w:cstheme="minorHAnsi"/>
        </w:rPr>
      </w:pPr>
      <w:r>
        <w:rPr>
          <w:rFonts w:cstheme="minorHAnsi"/>
        </w:rPr>
        <w:t>Currently, hundreds of thousands of frontline workers and their famil</w:t>
      </w:r>
      <w:r w:rsidR="005E10DD">
        <w:rPr>
          <w:rFonts w:cstheme="minorHAnsi"/>
        </w:rPr>
        <w:t>y members</w:t>
      </w:r>
      <w:r>
        <w:rPr>
          <w:rFonts w:cstheme="minorHAnsi"/>
        </w:rPr>
        <w:t xml:space="preserve"> lack federal parity protections and have no recourse if their health coverage discriminates against them due to their</w:t>
      </w:r>
      <w:r w:rsidR="00700B3E">
        <w:rPr>
          <w:rFonts w:cstheme="minorHAnsi"/>
        </w:rPr>
        <w:t xml:space="preserve"> </w:t>
      </w:r>
      <w:r>
        <w:rPr>
          <w:rFonts w:cstheme="minorHAnsi"/>
        </w:rPr>
        <w:t>mental health and substance use disorder (</w:t>
      </w:r>
      <w:r w:rsidR="00CD4866" w:rsidRPr="00D14BCB">
        <w:rPr>
          <w:rFonts w:cstheme="minorHAnsi"/>
        </w:rPr>
        <w:t>MH/SUD</w:t>
      </w:r>
      <w:r>
        <w:rPr>
          <w:rFonts w:cstheme="minorHAnsi"/>
        </w:rPr>
        <w:t>)</w:t>
      </w:r>
      <w:r w:rsidR="00D11AB2" w:rsidRPr="00D14BCB">
        <w:rPr>
          <w:rFonts w:cstheme="minorHAnsi"/>
        </w:rPr>
        <w:t xml:space="preserve"> treatment </w:t>
      </w:r>
      <w:r>
        <w:rPr>
          <w:rFonts w:cstheme="minorHAnsi"/>
        </w:rPr>
        <w:t>needs</w:t>
      </w:r>
      <w:r w:rsidR="00D11AB2" w:rsidRPr="00A77B1F">
        <w:rPr>
          <w:rFonts w:cstheme="minorHAnsi"/>
        </w:rPr>
        <w:t>. Th</w:t>
      </w:r>
      <w:r w:rsidR="00A77B1F">
        <w:rPr>
          <w:rFonts w:cstheme="minorHAnsi"/>
        </w:rPr>
        <w:t>is provision</w:t>
      </w:r>
      <w:r w:rsidR="00D11AB2" w:rsidRPr="00A77B1F">
        <w:rPr>
          <w:rFonts w:cstheme="minorHAnsi"/>
        </w:rPr>
        <w:t xml:space="preserve"> would sunset the ability </w:t>
      </w:r>
      <w:r w:rsidR="00A77B1F">
        <w:rPr>
          <w:rFonts w:cstheme="minorHAnsi"/>
        </w:rPr>
        <w:t xml:space="preserve">of </w:t>
      </w:r>
      <w:r w:rsidR="00D11AB2" w:rsidRPr="00A77B1F">
        <w:rPr>
          <w:rFonts w:cstheme="minorHAnsi"/>
        </w:rPr>
        <w:t>self-funded, non</w:t>
      </w:r>
      <w:r w:rsidR="00A77B1F">
        <w:rPr>
          <w:rFonts w:cstheme="minorHAnsi"/>
        </w:rPr>
        <w:t>-</w:t>
      </w:r>
      <w:r w:rsidR="00D11AB2" w:rsidRPr="00A77B1F">
        <w:rPr>
          <w:rFonts w:cstheme="minorHAnsi"/>
        </w:rPr>
        <w:t xml:space="preserve">federal governmental health care plans that cover </w:t>
      </w:r>
      <w:r w:rsidR="006E66FC">
        <w:rPr>
          <w:rFonts w:cstheme="minorHAnsi"/>
        </w:rPr>
        <w:t xml:space="preserve">first responders, </w:t>
      </w:r>
      <w:r w:rsidR="00D11AB2" w:rsidRPr="00A77B1F">
        <w:rPr>
          <w:rFonts w:cstheme="minorHAnsi"/>
        </w:rPr>
        <w:t>public school teachers, and</w:t>
      </w:r>
      <w:r w:rsidR="006E66FC">
        <w:rPr>
          <w:rFonts w:cstheme="minorHAnsi"/>
        </w:rPr>
        <w:t xml:space="preserve"> other</w:t>
      </w:r>
      <w:r w:rsidR="00D11AB2" w:rsidRPr="00A77B1F">
        <w:rPr>
          <w:rFonts w:cstheme="minorHAnsi"/>
        </w:rPr>
        <w:t xml:space="preserve"> city and state workers to opt-out of protections provided by the</w:t>
      </w:r>
      <w:r w:rsidR="00D11AB2" w:rsidRPr="002328B4">
        <w:rPr>
          <w:rFonts w:cstheme="minorHAnsi"/>
        </w:rPr>
        <w:t xml:space="preserve"> Paul Wellstone and Pete Domenici Mental Health Parity and Addiction Equity Act of 2008 (</w:t>
      </w:r>
      <w:r w:rsidR="00D11AB2" w:rsidRPr="00A77B1F">
        <w:rPr>
          <w:rFonts w:cstheme="minorHAnsi"/>
        </w:rPr>
        <w:t xml:space="preserve">Federal Parity Act). </w:t>
      </w:r>
    </w:p>
    <w:p w14:paraId="2742BEC4" w14:textId="77777777" w:rsidR="00D11AB2" w:rsidRPr="002328B4" w:rsidRDefault="00D11AB2" w:rsidP="00D11AB2">
      <w:pPr>
        <w:rPr>
          <w:rFonts w:cstheme="minorHAnsi"/>
        </w:rPr>
      </w:pPr>
    </w:p>
    <w:p w14:paraId="77C27034" w14:textId="3764DA1D" w:rsidR="004D2DE5" w:rsidRDefault="00A77B1F" w:rsidP="00D11AB2">
      <w:r>
        <w:rPr>
          <w:rFonts w:cstheme="minorHAnsi"/>
        </w:rPr>
        <w:t xml:space="preserve">President George W. Bush signed the </w:t>
      </w:r>
      <w:r w:rsidR="00D11AB2" w:rsidRPr="00A77B1F">
        <w:rPr>
          <w:rFonts w:cstheme="minorHAnsi"/>
        </w:rPr>
        <w:t>bipartisan Federal Parity Act</w:t>
      </w:r>
      <w:r>
        <w:rPr>
          <w:rFonts w:cstheme="minorHAnsi"/>
        </w:rPr>
        <w:t xml:space="preserve"> into law</w:t>
      </w:r>
      <w:r w:rsidR="00D11AB2" w:rsidRPr="00A77B1F">
        <w:rPr>
          <w:rFonts w:cstheme="minorHAnsi"/>
        </w:rPr>
        <w:t xml:space="preserve"> </w:t>
      </w:r>
      <w:r>
        <w:rPr>
          <w:rFonts w:cstheme="minorHAnsi"/>
        </w:rPr>
        <w:t>to</w:t>
      </w:r>
      <w:r w:rsidR="004E2747" w:rsidRPr="00A77B1F">
        <w:rPr>
          <w:rFonts w:cstheme="minorHAnsi"/>
        </w:rPr>
        <w:t xml:space="preserve"> </w:t>
      </w:r>
      <w:r w:rsidR="00364FF0" w:rsidRPr="00A77B1F">
        <w:rPr>
          <w:rFonts w:cstheme="minorHAnsi"/>
        </w:rPr>
        <w:t>protect those need</w:t>
      </w:r>
      <w:r w:rsidR="00142FFB" w:rsidRPr="00A77B1F">
        <w:rPr>
          <w:rFonts w:cstheme="minorHAnsi"/>
        </w:rPr>
        <w:t>ing MH/SUD treatment</w:t>
      </w:r>
      <w:r w:rsidR="00172BBD">
        <w:rPr>
          <w:rFonts w:cstheme="minorHAnsi"/>
        </w:rPr>
        <w:t>. The law</w:t>
      </w:r>
      <w:r w:rsidR="00142FFB" w:rsidRPr="00A77B1F">
        <w:rPr>
          <w:rFonts w:cstheme="minorHAnsi"/>
        </w:rPr>
        <w:t xml:space="preserve"> </w:t>
      </w:r>
      <w:r w:rsidR="00172BBD">
        <w:rPr>
          <w:rFonts w:cstheme="minorHAnsi"/>
        </w:rPr>
        <w:t>requires</w:t>
      </w:r>
      <w:r w:rsidR="004E2747" w:rsidRPr="00A77B1F">
        <w:rPr>
          <w:rFonts w:cstheme="minorHAnsi"/>
        </w:rPr>
        <w:t xml:space="preserve"> health plans </w:t>
      </w:r>
      <w:r>
        <w:rPr>
          <w:rFonts w:cstheme="minorHAnsi"/>
        </w:rPr>
        <w:t xml:space="preserve">to </w:t>
      </w:r>
      <w:r w:rsidR="004E2747" w:rsidRPr="00A77B1F">
        <w:rPr>
          <w:rFonts w:cstheme="minorHAnsi"/>
        </w:rPr>
        <w:t xml:space="preserve">cover MH/SUD treatment </w:t>
      </w:r>
      <w:r>
        <w:rPr>
          <w:rFonts w:cstheme="minorHAnsi"/>
        </w:rPr>
        <w:t xml:space="preserve">in a manner not less restrictive or more costly to enrollees than </w:t>
      </w:r>
      <w:r w:rsidR="004D2DE5">
        <w:rPr>
          <w:rFonts w:cstheme="minorHAnsi"/>
        </w:rPr>
        <w:t xml:space="preserve">for </w:t>
      </w:r>
      <w:r w:rsidR="004E2747" w:rsidRPr="00A77B1F">
        <w:rPr>
          <w:rFonts w:cstheme="minorHAnsi"/>
        </w:rPr>
        <w:t>physical health treatment. With few exceptions, Americans in all Medicaid and commercial health plans nationwide receive the Federal Parity Act’s protections against discriminatory coverage for illnesses of the brain</w:t>
      </w:r>
      <w:r w:rsidR="004E2747">
        <w:t>. Yet, a</w:t>
      </w:r>
      <w:r w:rsidR="00D11AB2" w:rsidRPr="00D11AB2">
        <w:t>ccording to the </w:t>
      </w:r>
      <w:hyperlink r:id="rId7" w:history="1">
        <w:r w:rsidR="00D11AB2" w:rsidRPr="00D11AB2">
          <w:rPr>
            <w:rStyle w:val="Hyperlink"/>
          </w:rPr>
          <w:t xml:space="preserve">Centers for Medicare </w:t>
        </w:r>
        <w:r w:rsidR="002328B4">
          <w:rPr>
            <w:rStyle w:val="Hyperlink"/>
          </w:rPr>
          <w:t>and</w:t>
        </w:r>
        <w:r w:rsidR="00D11AB2" w:rsidRPr="00D11AB2">
          <w:rPr>
            <w:rStyle w:val="Hyperlink"/>
          </w:rPr>
          <w:t xml:space="preserve"> Medicaid Services</w:t>
        </w:r>
      </w:hyperlink>
      <w:r w:rsidR="002328B4">
        <w:rPr>
          <w:rStyle w:val="Hyperlink"/>
        </w:rPr>
        <w:t xml:space="preserve"> (CMS)</w:t>
      </w:r>
      <w:r w:rsidR="00D11AB2" w:rsidRPr="00D11AB2">
        <w:t>, </w:t>
      </w:r>
      <w:r w:rsidR="00593008">
        <w:t>about 200</w:t>
      </w:r>
      <w:r w:rsidR="00593008" w:rsidRPr="00D11AB2">
        <w:t xml:space="preserve"> </w:t>
      </w:r>
      <w:r w:rsidR="004E2747">
        <w:t xml:space="preserve">state and local government </w:t>
      </w:r>
      <w:r w:rsidR="00D11AB2" w:rsidRPr="00D11AB2">
        <w:t xml:space="preserve">plans </w:t>
      </w:r>
      <w:r w:rsidR="004E2747">
        <w:t xml:space="preserve">have opted out of these </w:t>
      </w:r>
      <w:r w:rsidR="00D11AB2" w:rsidRPr="00D11AB2">
        <w:t>mental health and substance use disorder parity protections. </w:t>
      </w:r>
      <w:r w:rsidR="003A321A">
        <w:t xml:space="preserve">Importantly, 99.5% of the more than </w:t>
      </w:r>
      <w:r w:rsidR="004E2747">
        <w:t>34,000 self-funded non-federal governmental plans nationwide</w:t>
      </w:r>
      <w:r w:rsidR="003A321A">
        <w:t xml:space="preserve"> do </w:t>
      </w:r>
      <w:r w:rsidR="003A321A" w:rsidRPr="003A321A">
        <w:rPr>
          <w:i/>
          <w:iCs/>
        </w:rPr>
        <w:t>not</w:t>
      </w:r>
      <w:r w:rsidR="003A321A">
        <w:t xml:space="preserve"> opt out. </w:t>
      </w:r>
    </w:p>
    <w:p w14:paraId="28CCFF7D" w14:textId="77777777" w:rsidR="004D2DE5" w:rsidRDefault="004D2DE5" w:rsidP="00D11AB2"/>
    <w:p w14:paraId="41506CE3" w14:textId="5CB5117B" w:rsidR="003A321A" w:rsidRDefault="004D2DE5" w:rsidP="00D11AB2">
      <w:r>
        <w:t xml:space="preserve">For the </w:t>
      </w:r>
      <w:r w:rsidR="003A321A">
        <w:t>hundreds of thousands of frontline workers and their family members</w:t>
      </w:r>
      <w:r>
        <w:t xml:space="preserve"> who are covered by the</w:t>
      </w:r>
      <w:r w:rsidR="003A321A">
        <w:t xml:space="preserve"> 0.5% plans that have </w:t>
      </w:r>
      <w:r>
        <w:t xml:space="preserve">decided not to comply with the </w:t>
      </w:r>
      <w:r w:rsidR="00172BBD">
        <w:t>Federal</w:t>
      </w:r>
      <w:r>
        <w:t xml:space="preserve"> Parity Act</w:t>
      </w:r>
      <w:r w:rsidR="00CD4866">
        <w:t>,</w:t>
      </w:r>
      <w:r>
        <w:t xml:space="preserve"> they </w:t>
      </w:r>
      <w:r w:rsidR="00CD4866">
        <w:t>often</w:t>
      </w:r>
      <w:r>
        <w:t xml:space="preserve"> face </w:t>
      </w:r>
      <w:r w:rsidR="00172BBD">
        <w:t xml:space="preserve">blanket exclusions, as well as </w:t>
      </w:r>
      <w:r w:rsidR="00A33D07">
        <w:t>procedural</w:t>
      </w:r>
      <w:r>
        <w:t xml:space="preserve"> and financial </w:t>
      </w:r>
      <w:r w:rsidR="00A33D07">
        <w:t xml:space="preserve">roadblocks when they seek </w:t>
      </w:r>
      <w:r w:rsidR="00172BBD">
        <w:t>MH/SUD treatment for themselves or their family members.</w:t>
      </w:r>
      <w:r w:rsidR="00A33D07">
        <w:t xml:space="preserve"> The challenges of seeking needed services for a </w:t>
      </w:r>
      <w:r w:rsidR="00811F75">
        <w:t xml:space="preserve">child </w:t>
      </w:r>
      <w:r w:rsidR="00A33D07">
        <w:t xml:space="preserve">with autism or who has </w:t>
      </w:r>
      <w:r w:rsidR="00811F75">
        <w:t>a substance use disorder</w:t>
      </w:r>
      <w:r w:rsidR="00A33D07">
        <w:t xml:space="preserve"> are hard enough without the stress and financial burdens of finding out your health care plan does not have to play by the rules Congress </w:t>
      </w:r>
      <w:r w:rsidR="00EE1C69">
        <w:t>set for nearly every other health plan.</w:t>
      </w:r>
      <w:r w:rsidR="00A33D07">
        <w:t xml:space="preserve"> </w:t>
      </w:r>
    </w:p>
    <w:p w14:paraId="29843013" w14:textId="77777777" w:rsidR="003A321A" w:rsidRDefault="003A321A" w:rsidP="00D11AB2"/>
    <w:p w14:paraId="34480748" w14:textId="1950DE8C" w:rsidR="00142FFB" w:rsidRDefault="00EE1C69" w:rsidP="00D11AB2">
      <w:r>
        <w:lastRenderedPageBreak/>
        <w:t>Extending parity protections to frontline workers covered by these plans is all the more important as we begin to emerge from the pandemic.</w:t>
      </w:r>
      <w:r w:rsidR="00142FFB">
        <w:t xml:space="preserve"> </w:t>
      </w:r>
      <w:r w:rsidR="00142FFB" w:rsidRPr="00142FFB">
        <w:t xml:space="preserve">Overdose deaths </w:t>
      </w:r>
      <w:r w:rsidR="00142FFB">
        <w:t>have skyrocketed</w:t>
      </w:r>
      <w:r w:rsidR="00142FFB" w:rsidRPr="00142FFB">
        <w:t xml:space="preserve">, and </w:t>
      </w:r>
      <w:r w:rsidR="00142FFB">
        <w:t>tr</w:t>
      </w:r>
      <w:r w:rsidR="000E407D">
        <w:t xml:space="preserve">auma and </w:t>
      </w:r>
      <w:hyperlink r:id="rId8" w:history="1">
        <w:r w:rsidR="000E407D" w:rsidRPr="000E407D">
          <w:rPr>
            <w:rStyle w:val="Hyperlink"/>
          </w:rPr>
          <w:t>burnout</w:t>
        </w:r>
      </w:hyperlink>
      <w:r w:rsidR="000E407D">
        <w:t xml:space="preserve"> among frontline workers has significantly increased.</w:t>
      </w:r>
      <w:r w:rsidR="00142FFB" w:rsidRPr="00142FFB">
        <w:t xml:space="preserve"> </w:t>
      </w:r>
      <w:r w:rsidR="000E407D">
        <w:t>Private sector</w:t>
      </w:r>
      <w:r>
        <w:t xml:space="preserve"> insured and self-funded</w:t>
      </w:r>
      <w:r w:rsidR="000E407D">
        <w:t xml:space="preserve"> plans are working to improve MH/SUD coverage and comply with the Federal Parity Act</w:t>
      </w:r>
      <w:r>
        <w:t>. All self-</w:t>
      </w:r>
      <w:r w:rsidR="00811F75">
        <w:t>funded,</w:t>
      </w:r>
      <w:r>
        <w:t xml:space="preserve"> non-federal</w:t>
      </w:r>
      <w:r w:rsidR="00811F75">
        <w:t xml:space="preserve"> </w:t>
      </w:r>
      <w:r w:rsidR="000E407D">
        <w:t>government</w:t>
      </w:r>
      <w:r>
        <w:t>al</w:t>
      </w:r>
      <w:r w:rsidR="000E407D">
        <w:t xml:space="preserve"> plans should be doing the same.</w:t>
      </w:r>
    </w:p>
    <w:p w14:paraId="617148D2" w14:textId="5203825F" w:rsidR="000E407D" w:rsidRDefault="000E407D" w:rsidP="00D11AB2"/>
    <w:p w14:paraId="410DB52D" w14:textId="44264D50" w:rsidR="000E407D" w:rsidRPr="000E407D" w:rsidRDefault="000E407D" w:rsidP="000E407D">
      <w:pPr>
        <w:rPr>
          <w:rFonts w:cstheme="minorHAnsi"/>
        </w:rPr>
      </w:pPr>
      <w:r w:rsidRPr="00AD106C">
        <w:rPr>
          <w:rFonts w:cstheme="minorHAnsi"/>
        </w:rPr>
        <w:t xml:space="preserve">Complying with parity is </w:t>
      </w:r>
      <w:r w:rsidR="00AD106C" w:rsidRPr="00AD106C">
        <w:rPr>
          <w:rFonts w:cstheme="minorHAnsi"/>
        </w:rPr>
        <w:t>likely to be cost-neutral or even to save on overall health care costs.</w:t>
      </w:r>
      <w:r w:rsidR="00AD106C">
        <w:rPr>
          <w:rFonts w:cstheme="minorHAnsi"/>
        </w:rPr>
        <w:t xml:space="preserve"> Milliman, the independent research firm, has demonstrated </w:t>
      </w:r>
      <w:r w:rsidR="00EE1C69">
        <w:rPr>
          <w:rFonts w:cstheme="minorHAnsi"/>
        </w:rPr>
        <w:t xml:space="preserve">that untreated and </w:t>
      </w:r>
      <w:r w:rsidRPr="000E407D">
        <w:rPr>
          <w:rFonts w:cstheme="minorHAnsi"/>
        </w:rPr>
        <w:t xml:space="preserve">undertreated </w:t>
      </w:r>
      <w:r w:rsidR="00811F75">
        <w:rPr>
          <w:rFonts w:cstheme="minorHAnsi"/>
        </w:rPr>
        <w:t>mental health and substance use disorders</w:t>
      </w:r>
      <w:r w:rsidRPr="000E407D">
        <w:rPr>
          <w:rFonts w:cstheme="minorHAnsi"/>
        </w:rPr>
        <w:t xml:space="preserve"> </w:t>
      </w:r>
      <w:hyperlink r:id="rId9" w:history="1">
        <w:r w:rsidRPr="00AD106C">
          <w:rPr>
            <w:rStyle w:val="Hyperlink"/>
            <w:rFonts w:cstheme="minorHAnsi"/>
          </w:rPr>
          <w:t>drive physical health care costs mu</w:t>
        </w:r>
        <w:r w:rsidR="00EE1C69">
          <w:rPr>
            <w:rStyle w:val="Hyperlink"/>
            <w:rFonts w:cstheme="minorHAnsi"/>
          </w:rPr>
          <w:t>ch</w:t>
        </w:r>
        <w:r w:rsidRPr="00AD106C">
          <w:rPr>
            <w:rStyle w:val="Hyperlink"/>
            <w:rFonts w:cstheme="minorHAnsi"/>
          </w:rPr>
          <w:t xml:space="preserve"> higher</w:t>
        </w:r>
      </w:hyperlink>
      <w:r w:rsidRPr="000E407D">
        <w:rPr>
          <w:rFonts w:cstheme="minorHAnsi"/>
        </w:rPr>
        <w:t xml:space="preserve">. Implementing parity </w:t>
      </w:r>
      <w:hyperlink r:id="rId10" w:history="1">
        <w:r w:rsidRPr="000E407D">
          <w:rPr>
            <w:rStyle w:val="Hyperlink"/>
            <w:rFonts w:cstheme="minorHAnsi"/>
          </w:rPr>
          <w:t xml:space="preserve">has </w:t>
        </w:r>
        <w:r w:rsidRPr="000E407D">
          <w:rPr>
            <w:rStyle w:val="Hyperlink"/>
            <w:rFonts w:cstheme="minorHAnsi"/>
            <w:i/>
            <w:iCs/>
          </w:rPr>
          <w:t>not</w:t>
        </w:r>
        <w:r w:rsidRPr="000E407D">
          <w:rPr>
            <w:rStyle w:val="Hyperlink"/>
            <w:rFonts w:cstheme="minorHAnsi"/>
          </w:rPr>
          <w:t xml:space="preserve"> been found to increase costs</w:t>
        </w:r>
      </w:hyperlink>
      <w:r w:rsidR="002328B4" w:rsidRPr="00CD4866">
        <w:rPr>
          <w:rStyle w:val="Hyperlink"/>
          <w:rFonts w:cstheme="minorHAnsi"/>
          <w:u w:val="none"/>
        </w:rPr>
        <w:t>.</w:t>
      </w:r>
      <w:r w:rsidR="00811F75" w:rsidRPr="00CD4866">
        <w:rPr>
          <w:rStyle w:val="Hyperlink"/>
          <w:rFonts w:cstheme="minorHAnsi"/>
          <w:u w:val="none"/>
        </w:rPr>
        <w:t xml:space="preserve"> </w:t>
      </w:r>
      <w:r w:rsidR="002328B4">
        <w:rPr>
          <w:rFonts w:cstheme="minorHAnsi"/>
        </w:rPr>
        <w:t>D</w:t>
      </w:r>
      <w:r w:rsidRPr="000E407D">
        <w:rPr>
          <w:rFonts w:cstheme="minorHAnsi"/>
        </w:rPr>
        <w:t>epression</w:t>
      </w:r>
      <w:r w:rsidR="00CD4866">
        <w:rPr>
          <w:rFonts w:cstheme="minorHAnsi"/>
        </w:rPr>
        <w:t xml:space="preserve"> alone</w:t>
      </w:r>
      <w:r w:rsidRPr="000E407D">
        <w:rPr>
          <w:rFonts w:cstheme="minorHAnsi"/>
        </w:rPr>
        <w:t xml:space="preserve"> costs employers </w:t>
      </w:r>
      <w:hyperlink r:id="rId11" w:history="1">
        <w:r w:rsidRPr="000E407D">
          <w:rPr>
            <w:rStyle w:val="Hyperlink"/>
            <w:rFonts w:cstheme="minorHAnsi"/>
          </w:rPr>
          <w:t>$44 billion</w:t>
        </w:r>
      </w:hyperlink>
      <w:r w:rsidRPr="000E407D">
        <w:rPr>
          <w:rFonts w:cstheme="minorHAnsi"/>
        </w:rPr>
        <w:t xml:space="preserve"> in lost productivity each year. </w:t>
      </w:r>
      <w:r w:rsidR="00CD4866">
        <w:rPr>
          <w:rFonts w:cstheme="minorHAnsi"/>
        </w:rPr>
        <w:t>Additionally, t</w:t>
      </w:r>
      <w:r w:rsidRPr="000E407D">
        <w:rPr>
          <w:rFonts w:cstheme="minorHAnsi"/>
        </w:rPr>
        <w:t xml:space="preserve">he Federal Parity Act allows a plan to </w:t>
      </w:r>
      <w:r w:rsidR="002328B4">
        <w:rPr>
          <w:rFonts w:cstheme="minorHAnsi"/>
        </w:rPr>
        <w:t xml:space="preserve">request to </w:t>
      </w:r>
      <w:r w:rsidRPr="000E407D">
        <w:rPr>
          <w:rFonts w:cstheme="minorHAnsi"/>
        </w:rPr>
        <w:t xml:space="preserve">be exempted from parity rules if the plan </w:t>
      </w:r>
      <w:r w:rsidR="002328B4">
        <w:rPr>
          <w:rFonts w:cstheme="minorHAnsi"/>
        </w:rPr>
        <w:t xml:space="preserve">projects </w:t>
      </w:r>
      <w:r w:rsidRPr="000E407D">
        <w:rPr>
          <w:rFonts w:cstheme="minorHAnsi"/>
        </w:rPr>
        <w:t xml:space="preserve">a 1% increase in premiums due to parity compliance. </w:t>
      </w:r>
      <w:r w:rsidR="00AD106C">
        <w:rPr>
          <w:rFonts w:cstheme="minorHAnsi"/>
        </w:rPr>
        <w:t>CMS has confirmed that n</w:t>
      </w:r>
      <w:r w:rsidRPr="000E407D">
        <w:rPr>
          <w:rFonts w:cstheme="minorHAnsi"/>
        </w:rPr>
        <w:t>o plan has ever received – or indeed ever applied</w:t>
      </w:r>
      <w:r w:rsidR="002328B4">
        <w:rPr>
          <w:rFonts w:cstheme="minorHAnsi"/>
        </w:rPr>
        <w:t xml:space="preserve"> for</w:t>
      </w:r>
      <w:r w:rsidRPr="000E407D">
        <w:rPr>
          <w:rFonts w:cstheme="minorHAnsi"/>
        </w:rPr>
        <w:t xml:space="preserve"> – such an exemption</w:t>
      </w:r>
      <w:r w:rsidR="00AD106C">
        <w:rPr>
          <w:rFonts w:cstheme="minorHAnsi"/>
        </w:rPr>
        <w:t>.</w:t>
      </w:r>
    </w:p>
    <w:p w14:paraId="6BAD476F" w14:textId="77777777" w:rsidR="000E407D" w:rsidRDefault="000E407D" w:rsidP="00D11AB2"/>
    <w:p w14:paraId="33F10CB3" w14:textId="3CA066E6" w:rsidR="003A321A" w:rsidRDefault="002328B4" w:rsidP="00D11AB2">
      <w:r>
        <w:t>For frontline workers whose children are part of the</w:t>
      </w:r>
      <w:r w:rsidR="00AD106C">
        <w:t xml:space="preserve"> well-documented mental health crisis among our youth, the failure </w:t>
      </w:r>
      <w:r>
        <w:t xml:space="preserve">of their health plans </w:t>
      </w:r>
      <w:r w:rsidR="00AD106C">
        <w:t xml:space="preserve">to provide parity protections can have devastating outcomes. </w:t>
      </w:r>
      <w:r w:rsidR="00EC3DAD">
        <w:t>The obstacles of higher deductibles for mental health treatment, stricter prior authorization requirement</w:t>
      </w:r>
      <w:r w:rsidR="00CD4866">
        <w:t>s</w:t>
      </w:r>
      <w:r w:rsidR="00EC3DAD">
        <w:t>, limited benefits or more arduous</w:t>
      </w:r>
      <w:r w:rsidR="00A432C1">
        <w:t xml:space="preserve"> medical necessity determinations </w:t>
      </w:r>
      <w:r w:rsidR="00EC3DAD">
        <w:t xml:space="preserve">than would be applied to </w:t>
      </w:r>
      <w:r w:rsidR="00DB0C99">
        <w:t xml:space="preserve">physical health </w:t>
      </w:r>
      <w:r w:rsidR="00EC3DAD">
        <w:t>benefits can leave parents unable to provide their child with needed treatment even though they have health care coverage.</w:t>
      </w:r>
      <w:r w:rsidR="00A432C1">
        <w:t xml:space="preserve"> In </w:t>
      </w:r>
      <w:r w:rsidR="00EC3DAD">
        <w:t xml:space="preserve">plans that have decided not to comply with the </w:t>
      </w:r>
      <w:r w:rsidR="00DB0C99">
        <w:t>Federal</w:t>
      </w:r>
      <w:r w:rsidR="00EC3DAD">
        <w:t xml:space="preserve"> Parity Act</w:t>
      </w:r>
      <w:r w:rsidR="00A432C1">
        <w:t xml:space="preserve">, families </w:t>
      </w:r>
      <w:r w:rsidR="00EC3DAD">
        <w:t>are left with no recourse</w:t>
      </w:r>
      <w:r w:rsidR="000776C9">
        <w:t>,</w:t>
      </w:r>
      <w:r w:rsidR="00EC3DAD">
        <w:t xml:space="preserve"> because they cannot</w:t>
      </w:r>
      <w:r w:rsidR="00A432C1">
        <w:t xml:space="preserve"> challenge discriminatory coverage denials </w:t>
      </w:r>
      <w:r w:rsidR="00EC3DAD">
        <w:t>that violate</w:t>
      </w:r>
      <w:r w:rsidR="00A432C1">
        <w:t xml:space="preserve"> parity</w:t>
      </w:r>
      <w:r w:rsidR="00EC3DAD">
        <w:t xml:space="preserve"> requirements</w:t>
      </w:r>
      <w:r w:rsidR="00A432C1">
        <w:t>.</w:t>
      </w:r>
    </w:p>
    <w:p w14:paraId="7CC92149" w14:textId="4B0EEFBF" w:rsidR="00A432C1" w:rsidRDefault="00A432C1" w:rsidP="00D11AB2"/>
    <w:p w14:paraId="1710408A" w14:textId="77045D55" w:rsidR="00A432C1" w:rsidRDefault="00A432C1" w:rsidP="00D11AB2">
      <w:r>
        <w:t>For these reasons, we ask you to support phasing out parity opt-outs. No family – but especially our frontline workers – should have to worry that their loved one will not have MH/SUD treatment covered when they need it.</w:t>
      </w:r>
    </w:p>
    <w:p w14:paraId="0A10AE6F" w14:textId="77777777" w:rsidR="003A321A" w:rsidRPr="00D11AB2" w:rsidRDefault="003A321A" w:rsidP="00D11AB2"/>
    <w:p w14:paraId="37C2FFA7" w14:textId="14414DCC" w:rsidR="00D11AB2" w:rsidRDefault="00A432C1">
      <w:r>
        <w:t>Sincerely,</w:t>
      </w:r>
    </w:p>
    <w:p w14:paraId="28525703" w14:textId="709848FD" w:rsidR="00A432C1" w:rsidRDefault="00A432C1"/>
    <w:p w14:paraId="1D34FE09" w14:textId="52B6CA3B" w:rsidR="000776C9" w:rsidRDefault="000776C9">
      <w:r>
        <w:t>The Kennedy Forum</w:t>
      </w:r>
    </w:p>
    <w:p w14:paraId="49791B84" w14:textId="1AE2B656" w:rsidR="000776C9" w:rsidRDefault="000776C9">
      <w:r>
        <w:t>AFSCME</w:t>
      </w:r>
    </w:p>
    <w:p w14:paraId="0679C881" w14:textId="3B38C8F7" w:rsidR="00552D37" w:rsidRDefault="00552D37">
      <w:r>
        <w:t>National Education Association</w:t>
      </w:r>
    </w:p>
    <w:p w14:paraId="152DDBF4" w14:textId="25CACA9D" w:rsidR="0091474F" w:rsidRDefault="0091474F">
      <w:r w:rsidRPr="00164D6D">
        <w:t>National Alliance on Mental Illness</w:t>
      </w:r>
    </w:p>
    <w:p w14:paraId="514C7125" w14:textId="77777777" w:rsidR="008C1DFF" w:rsidRDefault="008C1DFF" w:rsidP="008C1DFF">
      <w:r>
        <w:t>2020 Mom</w:t>
      </w:r>
    </w:p>
    <w:p w14:paraId="7C9D8263" w14:textId="77777777" w:rsidR="008C1DFF" w:rsidRDefault="008C1DFF" w:rsidP="008C1DFF">
      <w:r>
        <w:t>Addiction Professionals of North Carolina</w:t>
      </w:r>
    </w:p>
    <w:p w14:paraId="33AD5DF9" w14:textId="77777777" w:rsidR="008C1DFF" w:rsidRDefault="008C1DFF" w:rsidP="008C1DFF">
      <w:r>
        <w:t>AIDS United</w:t>
      </w:r>
    </w:p>
    <w:p w14:paraId="1CFAF279" w14:textId="77777777" w:rsidR="008C1DFF" w:rsidRDefault="008C1DFF" w:rsidP="008C1DFF">
      <w:r>
        <w:t>American Academy of Social Work and Social Welfare</w:t>
      </w:r>
    </w:p>
    <w:p w14:paraId="6234DDB4" w14:textId="77777777" w:rsidR="008C1DFF" w:rsidRDefault="008C1DFF" w:rsidP="008C1DFF">
      <w:r>
        <w:t>American Art Therapy Association</w:t>
      </w:r>
    </w:p>
    <w:p w14:paraId="212A22C0" w14:textId="77777777" w:rsidR="008C1DFF" w:rsidRDefault="008C1DFF" w:rsidP="008C1DFF">
      <w:r>
        <w:t>American Association for Psychoanalysis in Clinical Social Work</w:t>
      </w:r>
    </w:p>
    <w:p w14:paraId="6883E9DA" w14:textId="77777777" w:rsidR="008C1DFF" w:rsidRDefault="008C1DFF" w:rsidP="008C1DFF">
      <w:r>
        <w:t>American Association of Child and Adolescent Psychiatry</w:t>
      </w:r>
    </w:p>
    <w:p w14:paraId="27AF42B0" w14:textId="77777777" w:rsidR="008C1DFF" w:rsidRDefault="008C1DFF" w:rsidP="008C1DFF">
      <w:r>
        <w:t xml:space="preserve">American Association </w:t>
      </w:r>
      <w:proofErr w:type="spellStart"/>
      <w:r>
        <w:t>on</w:t>
      </w:r>
      <w:proofErr w:type="spellEnd"/>
      <w:r>
        <w:t xml:space="preserve"> Health and Disability</w:t>
      </w:r>
    </w:p>
    <w:p w14:paraId="099E2266" w14:textId="77777777" w:rsidR="008C1DFF" w:rsidRDefault="008C1DFF" w:rsidP="008C1DFF">
      <w:r>
        <w:t>American College of Medical Toxicology</w:t>
      </w:r>
    </w:p>
    <w:p w14:paraId="129A48F9" w14:textId="77777777" w:rsidR="008C1DFF" w:rsidRDefault="008C1DFF" w:rsidP="008C1DFF">
      <w:r>
        <w:lastRenderedPageBreak/>
        <w:t>American Federation of Teachers</w:t>
      </w:r>
    </w:p>
    <w:p w14:paraId="43EE287C" w14:textId="77777777" w:rsidR="008C1DFF" w:rsidRDefault="008C1DFF" w:rsidP="008C1DFF">
      <w:r>
        <w:t>American Foundation for Suicide Prevention</w:t>
      </w:r>
    </w:p>
    <w:p w14:paraId="22940772" w14:textId="77777777" w:rsidR="008C1DFF" w:rsidRDefault="008C1DFF" w:rsidP="008C1DFF">
      <w:r>
        <w:t>American Mental Health Counselors Association</w:t>
      </w:r>
    </w:p>
    <w:p w14:paraId="0ADB8899" w14:textId="3077D514" w:rsidR="0067726B" w:rsidRDefault="008C1DFF" w:rsidP="008C1DFF">
      <w:r>
        <w:t>American Occupational Therapy Association</w:t>
      </w:r>
    </w:p>
    <w:p w14:paraId="0E6D65F2" w14:textId="12817112" w:rsidR="008C1DFF" w:rsidRDefault="008C1DFF" w:rsidP="008C1DFF">
      <w:r>
        <w:t>American Osteopathic Academy of Addiction Medicine</w:t>
      </w:r>
    </w:p>
    <w:p w14:paraId="15ECA2D9" w14:textId="77777777" w:rsidR="008C1DFF" w:rsidRDefault="008C1DFF" w:rsidP="008C1DFF">
      <w:r>
        <w:t>American Psychiatric Association</w:t>
      </w:r>
    </w:p>
    <w:p w14:paraId="32301F92" w14:textId="77777777" w:rsidR="008C1DFF" w:rsidRDefault="008C1DFF" w:rsidP="008C1DFF">
      <w:r>
        <w:t>American Psychoanalytic Association</w:t>
      </w:r>
    </w:p>
    <w:p w14:paraId="7B37FB7A" w14:textId="77777777" w:rsidR="008C1DFF" w:rsidRDefault="008C1DFF" w:rsidP="008C1DFF">
      <w:r>
        <w:t>American Psychological Association</w:t>
      </w:r>
    </w:p>
    <w:p w14:paraId="2DB7768D" w14:textId="77777777" w:rsidR="008C1DFF" w:rsidRDefault="008C1DFF" w:rsidP="008C1DFF">
      <w:r>
        <w:t>American Society of Addiction Medicine</w:t>
      </w:r>
    </w:p>
    <w:p w14:paraId="724BC32E" w14:textId="77777777" w:rsidR="008C1DFF" w:rsidRDefault="008C1DFF" w:rsidP="008C1DFF">
      <w:r>
        <w:t>Anxiety and Depression Association of America</w:t>
      </w:r>
    </w:p>
    <w:p w14:paraId="5F8BB23F" w14:textId="619A605C" w:rsidR="008C1DFF" w:rsidRDefault="0067726B" w:rsidP="008C1DFF">
      <w:r>
        <w:t>Association for Ambulatory Behavioral Healthcare</w:t>
      </w:r>
    </w:p>
    <w:p w14:paraId="0D420284" w14:textId="201C7F27" w:rsidR="008C1DFF" w:rsidRDefault="008C1DFF" w:rsidP="003A41F3">
      <w:pPr>
        <w:tabs>
          <w:tab w:val="left" w:pos="3547"/>
        </w:tabs>
      </w:pPr>
      <w:r>
        <w:t>Autism Legal Resource Center</w:t>
      </w:r>
      <w:r w:rsidR="003A41F3">
        <w:tab/>
      </w:r>
    </w:p>
    <w:p w14:paraId="0046CC2B" w14:textId="6D1E0DF3" w:rsidR="003A41F3" w:rsidRDefault="003A41F3" w:rsidP="003A41F3">
      <w:pPr>
        <w:tabs>
          <w:tab w:val="left" w:pos="3547"/>
        </w:tabs>
      </w:pPr>
      <w:r>
        <w:t>Autism Speaks</w:t>
      </w:r>
    </w:p>
    <w:p w14:paraId="38673D72" w14:textId="77777777" w:rsidR="008C1DFF" w:rsidRDefault="008C1DFF" w:rsidP="008C1DFF">
      <w:r>
        <w:t>CADA of Northwest Louisiana</w:t>
      </w:r>
    </w:p>
    <w:p w14:paraId="6BAD20CB" w14:textId="77777777" w:rsidR="008C1DFF" w:rsidRDefault="008C1DFF" w:rsidP="008C1DFF">
      <w:r>
        <w:t>California Consortium of Addiction Programs &amp; Professionals</w:t>
      </w:r>
    </w:p>
    <w:p w14:paraId="6BCFF88A" w14:textId="77777777" w:rsidR="008C1DFF" w:rsidRDefault="008C1DFF" w:rsidP="008C1DFF">
      <w:r>
        <w:t>Children and Adults with Attention-Deficit/Hyperactivity Disorder</w:t>
      </w:r>
    </w:p>
    <w:p w14:paraId="247EBC72" w14:textId="77777777" w:rsidR="008C1DFF" w:rsidRDefault="008C1DFF" w:rsidP="008C1DFF">
      <w:r>
        <w:t>Children's Hospital Association</w:t>
      </w:r>
    </w:p>
    <w:p w14:paraId="2D103410" w14:textId="24A68085" w:rsidR="008C1DFF" w:rsidRDefault="008C1DFF" w:rsidP="008C1DFF">
      <w:r>
        <w:t xml:space="preserve">College of Psychiatric and Neurologic </w:t>
      </w:r>
      <w:r w:rsidR="0067726B">
        <w:t>Pharmacists</w:t>
      </w:r>
    </w:p>
    <w:p w14:paraId="61AA0AB3" w14:textId="77777777" w:rsidR="008C1DFF" w:rsidRDefault="008C1DFF" w:rsidP="008C1DFF">
      <w:r>
        <w:t>Community Catalyst</w:t>
      </w:r>
    </w:p>
    <w:p w14:paraId="53695A68" w14:textId="77777777" w:rsidR="008C1DFF" w:rsidRDefault="008C1DFF" w:rsidP="008C1DFF">
      <w:r>
        <w:t>Connecticut Certification Board</w:t>
      </w:r>
    </w:p>
    <w:p w14:paraId="0BBE1868" w14:textId="1AC3CB03" w:rsidR="008C1DFF" w:rsidRDefault="008C1DFF" w:rsidP="008C1DFF">
      <w:r>
        <w:t>Council of Autism Service Providers</w:t>
      </w:r>
    </w:p>
    <w:p w14:paraId="644FE6EA" w14:textId="66624772" w:rsidR="001501E0" w:rsidRDefault="001501E0" w:rsidP="008C1DFF">
      <w:r>
        <w:t>Depression and Bipolar Support Alliance (DBSA)</w:t>
      </w:r>
    </w:p>
    <w:p w14:paraId="16BB1258" w14:textId="77777777" w:rsidR="008C1DFF" w:rsidRDefault="008C1DFF" w:rsidP="008C1DFF">
      <w:r>
        <w:t>Eating Disorders Coalition</w:t>
      </w:r>
    </w:p>
    <w:p w14:paraId="1D587EFD" w14:textId="1C5A7621" w:rsidR="001C3D65" w:rsidRDefault="001C3D65" w:rsidP="008C1DFF">
      <w:r>
        <w:t>Families USA</w:t>
      </w:r>
    </w:p>
    <w:p w14:paraId="7F85B857" w14:textId="7F69EA8F" w:rsidR="003A41F3" w:rsidRDefault="003A41F3" w:rsidP="008C1DFF">
      <w:r w:rsidRPr="003A41F3">
        <w:t>First Focus Campaign for Children</w:t>
      </w:r>
    </w:p>
    <w:p w14:paraId="21BB752A" w14:textId="02512F06" w:rsidR="008C1DFF" w:rsidRDefault="008C1DFF" w:rsidP="008C1DFF">
      <w:r>
        <w:t>Global Alliance for Behavioral Health &amp; Social Justice</w:t>
      </w:r>
    </w:p>
    <w:p w14:paraId="2F8A92C4" w14:textId="77777777" w:rsidR="008C1DFF" w:rsidRDefault="008C1DFF" w:rsidP="008C1DFF">
      <w:r>
        <w:t>Inseparable</w:t>
      </w:r>
    </w:p>
    <w:p w14:paraId="722D401E" w14:textId="77777777" w:rsidR="008C1DFF" w:rsidRDefault="008C1DFF" w:rsidP="008C1DFF">
      <w:r>
        <w:t>International OCD Foundation</w:t>
      </w:r>
    </w:p>
    <w:p w14:paraId="4D01B3B6" w14:textId="77777777" w:rsidR="008C1DFF" w:rsidRDefault="008C1DFF" w:rsidP="008C1DFF">
      <w:r>
        <w:t>International Society for Psychiatric Mental Health Nurses</w:t>
      </w:r>
    </w:p>
    <w:p w14:paraId="0E1170FA" w14:textId="6BD1518D" w:rsidR="0067726B" w:rsidRDefault="0067726B" w:rsidP="008C1DFF">
      <w:r>
        <w:t>The Jed Foundation</w:t>
      </w:r>
    </w:p>
    <w:p w14:paraId="55582DD9" w14:textId="7120B01E" w:rsidR="008C1DFF" w:rsidRDefault="008C1DFF" w:rsidP="008C1DFF">
      <w:r>
        <w:t>Lakeshore Foundation</w:t>
      </w:r>
    </w:p>
    <w:p w14:paraId="32E3CAC7" w14:textId="77777777" w:rsidR="008C1DFF" w:rsidRDefault="008C1DFF" w:rsidP="008C1DFF">
      <w:r>
        <w:t xml:space="preserve">Legal Action Center </w:t>
      </w:r>
    </w:p>
    <w:p w14:paraId="67E7122D" w14:textId="77777777" w:rsidR="008C1DFF" w:rsidRDefault="008C1DFF" w:rsidP="008C1DFF">
      <w:r>
        <w:t>Maternal Mental Health Leadership Alliance</w:t>
      </w:r>
    </w:p>
    <w:p w14:paraId="26B1390B" w14:textId="77777777" w:rsidR="008C1DFF" w:rsidRDefault="008C1DFF" w:rsidP="008C1DFF">
      <w:r>
        <w:t>Meadows Mental Health Policy Institute</w:t>
      </w:r>
    </w:p>
    <w:p w14:paraId="77E615A9" w14:textId="77777777" w:rsidR="008C1DFF" w:rsidRDefault="008C1DFF" w:rsidP="008C1DFF">
      <w:r>
        <w:t>Mental Health America</w:t>
      </w:r>
    </w:p>
    <w:p w14:paraId="50D9FD37" w14:textId="77777777" w:rsidR="008C1DFF" w:rsidRDefault="008C1DFF" w:rsidP="008C1DFF">
      <w:r>
        <w:t>NAADAC, the Association for Addiction Professionals</w:t>
      </w:r>
    </w:p>
    <w:p w14:paraId="55D3F488" w14:textId="77777777" w:rsidR="008C1DFF" w:rsidRDefault="008C1DFF" w:rsidP="008C1DFF">
      <w:r>
        <w:t>NASW</w:t>
      </w:r>
    </w:p>
    <w:p w14:paraId="4F7665B0" w14:textId="5CB689C7" w:rsidR="008C1DFF" w:rsidRDefault="008C1DFF" w:rsidP="008C1DFF">
      <w:r>
        <w:t>National Alliance for Medication Assisted Recovery</w:t>
      </w:r>
    </w:p>
    <w:p w14:paraId="61D07BEC" w14:textId="162EE467" w:rsidR="0067726B" w:rsidRDefault="0067726B" w:rsidP="008C1DFF">
      <w:r>
        <w:t>The National Alliance to Advance Adolescent Health</w:t>
      </w:r>
    </w:p>
    <w:p w14:paraId="0C27EE74" w14:textId="77777777" w:rsidR="008C1DFF" w:rsidRDefault="008C1DFF" w:rsidP="008C1DFF">
      <w:r>
        <w:t>National Association for Behavioral Healthcare</w:t>
      </w:r>
    </w:p>
    <w:p w14:paraId="72F37FA0" w14:textId="77777777" w:rsidR="008C1DFF" w:rsidRDefault="008C1DFF" w:rsidP="008C1DFF">
      <w:r>
        <w:t>National Association for Children's Behavioral Health</w:t>
      </w:r>
    </w:p>
    <w:p w14:paraId="027412C4" w14:textId="77777777" w:rsidR="008C1DFF" w:rsidRDefault="008C1DFF" w:rsidP="008C1DFF">
      <w:r>
        <w:t>National Association for Rural Mental Health</w:t>
      </w:r>
    </w:p>
    <w:p w14:paraId="3A00A393" w14:textId="77777777" w:rsidR="008C1DFF" w:rsidRDefault="008C1DFF" w:rsidP="008C1DFF">
      <w:r>
        <w:t>National Association of Addiction Treatment Providers</w:t>
      </w:r>
    </w:p>
    <w:p w14:paraId="459004FD" w14:textId="6BA6E812" w:rsidR="008C1DFF" w:rsidRDefault="008C1DFF" w:rsidP="008C1DFF">
      <w:r>
        <w:t>National Association of County Behavioral Health and Developmental Disability Directors</w:t>
      </w:r>
    </w:p>
    <w:p w14:paraId="411C2C6F" w14:textId="77777777" w:rsidR="008C1DFF" w:rsidRDefault="008C1DFF" w:rsidP="008C1DFF">
      <w:r>
        <w:lastRenderedPageBreak/>
        <w:t>National Autism Law Center</w:t>
      </w:r>
    </w:p>
    <w:p w14:paraId="60B4D7A3" w14:textId="14C16235" w:rsidR="0067726B" w:rsidRDefault="0067726B" w:rsidP="008C1DFF">
      <w:r>
        <w:t>The National Board for Certified Counselors (NBCC)</w:t>
      </w:r>
    </w:p>
    <w:p w14:paraId="70E185F3" w14:textId="235A77DB" w:rsidR="008C1DFF" w:rsidRDefault="008C1DFF" w:rsidP="008C1DFF">
      <w:r>
        <w:t>National Council for Mental Wellbeing</w:t>
      </w:r>
    </w:p>
    <w:p w14:paraId="16DC9D23" w14:textId="77777777" w:rsidR="008C1DFF" w:rsidRDefault="008C1DFF" w:rsidP="008C1DFF">
      <w:r>
        <w:t>National Eating Disorders Association</w:t>
      </w:r>
    </w:p>
    <w:p w14:paraId="11F2C979" w14:textId="77777777" w:rsidR="008C1DFF" w:rsidRDefault="008C1DFF" w:rsidP="008C1DFF">
      <w:r>
        <w:t>National Federation of Families</w:t>
      </w:r>
    </w:p>
    <w:p w14:paraId="2A27EEAA" w14:textId="350A129F" w:rsidR="008C1DFF" w:rsidRDefault="008C1DFF" w:rsidP="008C1DFF">
      <w:r>
        <w:t>National Health Law Program</w:t>
      </w:r>
    </w:p>
    <w:p w14:paraId="5E79349A" w14:textId="3C039924" w:rsidR="003A41F3" w:rsidRDefault="003A41F3" w:rsidP="008C1DFF">
      <w:r>
        <w:t>National Safety Council</w:t>
      </w:r>
    </w:p>
    <w:p w14:paraId="58FBC314" w14:textId="77777777" w:rsidR="008C1DFF" w:rsidRDefault="008C1DFF" w:rsidP="008C1DFF">
      <w:r>
        <w:t>NHMH - No Health without Mental Health</w:t>
      </w:r>
    </w:p>
    <w:p w14:paraId="4D77AF81" w14:textId="77777777" w:rsidR="008C1DFF" w:rsidRDefault="008C1DFF" w:rsidP="008C1DFF">
      <w:r>
        <w:t>Partnership to End Addiction</w:t>
      </w:r>
    </w:p>
    <w:p w14:paraId="0394CE85" w14:textId="77777777" w:rsidR="008C1DFF" w:rsidRDefault="008C1DFF" w:rsidP="008C1DFF">
      <w:r>
        <w:t>Postpartum Support International</w:t>
      </w:r>
    </w:p>
    <w:p w14:paraId="7EC371F2" w14:textId="77777777" w:rsidR="008C1DFF" w:rsidRDefault="008C1DFF" w:rsidP="008C1DFF">
      <w:r>
        <w:t>Project HEAL</w:t>
      </w:r>
    </w:p>
    <w:p w14:paraId="2AF74282" w14:textId="77777777" w:rsidR="008C1DFF" w:rsidRDefault="008C1DFF" w:rsidP="008C1DFF">
      <w:r>
        <w:t>Psychotherapy Action Network (</w:t>
      </w:r>
      <w:proofErr w:type="spellStart"/>
      <w:r>
        <w:t>PsiAN</w:t>
      </w:r>
      <w:proofErr w:type="spellEnd"/>
      <w:r>
        <w:t>)</w:t>
      </w:r>
    </w:p>
    <w:p w14:paraId="6ABF36C9" w14:textId="77777777" w:rsidR="008C1DFF" w:rsidRDefault="008C1DFF" w:rsidP="008C1DFF">
      <w:r>
        <w:t>REDC Consortium</w:t>
      </w:r>
    </w:p>
    <w:p w14:paraId="44A5BAC0" w14:textId="77777777" w:rsidR="008C1DFF" w:rsidRDefault="008C1DFF" w:rsidP="008C1DFF">
      <w:r>
        <w:t>RI International</w:t>
      </w:r>
    </w:p>
    <w:p w14:paraId="24FA29A6" w14:textId="77777777" w:rsidR="008C1DFF" w:rsidRDefault="008C1DFF" w:rsidP="008C1DFF">
      <w:r>
        <w:t>Schizophrenia &amp; Psychosis Action Alliance</w:t>
      </w:r>
    </w:p>
    <w:p w14:paraId="2C1C8D3D" w14:textId="77777777" w:rsidR="008C1DFF" w:rsidRDefault="008C1DFF" w:rsidP="008C1DFF">
      <w:r>
        <w:t>SMART Recovery</w:t>
      </w:r>
    </w:p>
    <w:p w14:paraId="7DC63DF1" w14:textId="23A0CE47" w:rsidR="008C1DFF" w:rsidRDefault="008C1DFF" w:rsidP="008C1DFF">
      <w:r>
        <w:t>Steinberg Institute</w:t>
      </w:r>
    </w:p>
    <w:p w14:paraId="6B16422C" w14:textId="7FC6A266" w:rsidR="003A41F3" w:rsidRDefault="003A41F3" w:rsidP="008C1DFF">
      <w:r>
        <w:t>Stop Stigma Now</w:t>
      </w:r>
    </w:p>
    <w:p w14:paraId="62748916" w14:textId="77777777" w:rsidR="008C1DFF" w:rsidRDefault="008C1DFF" w:rsidP="008C1DFF">
      <w:r>
        <w:t>Treatment Advocacy Center</w:t>
      </w:r>
    </w:p>
    <w:p w14:paraId="2BBBFBFE" w14:textId="7116D51D" w:rsidR="008C1DFF" w:rsidRDefault="008C1DFF" w:rsidP="008C1DFF">
      <w:r>
        <w:t>Treatment Communities of America</w:t>
      </w:r>
    </w:p>
    <w:p w14:paraId="13FAADFA" w14:textId="52B1F4AE" w:rsidR="003A41F3" w:rsidRDefault="003A41F3" w:rsidP="008C1DFF">
      <w:r>
        <w:t>Trust for America’s Health</w:t>
      </w:r>
    </w:p>
    <w:p w14:paraId="60C2509B" w14:textId="717B83D1" w:rsidR="0067726B" w:rsidRDefault="0067726B" w:rsidP="008C1DFF">
      <w:r>
        <w:t>The Voices Project</w:t>
      </w:r>
    </w:p>
    <w:p w14:paraId="2AB18E9B" w14:textId="65BF016F" w:rsidR="008C1DFF" w:rsidRDefault="008C1DFF" w:rsidP="008C1DFF">
      <w:r>
        <w:t>Young People in Recovery</w:t>
      </w:r>
    </w:p>
    <w:p w14:paraId="7253CA2B" w14:textId="77777777" w:rsidR="008C1DFF" w:rsidRDefault="008C1DFF"/>
    <w:p w14:paraId="690818EC" w14:textId="503102DD" w:rsidR="00C55088" w:rsidRDefault="00C55088" w:rsidP="00C55088">
      <w:pPr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62636E2B" w14:textId="1B3F5E0F" w:rsidR="00C55088" w:rsidRPr="00164D6D" w:rsidRDefault="00C55088" w:rsidP="00164D6D"/>
    <w:p w14:paraId="50B025B6" w14:textId="77777777" w:rsidR="00164D6D" w:rsidRPr="0001316E" w:rsidRDefault="00164D6D" w:rsidP="0001316E"/>
    <w:p w14:paraId="39AC12C7" w14:textId="77777777" w:rsidR="0001316E" w:rsidRDefault="0001316E"/>
    <w:p w14:paraId="74000169" w14:textId="57F7DA57" w:rsidR="000776C9" w:rsidRDefault="000776C9"/>
    <w:p w14:paraId="44314701" w14:textId="77777777" w:rsidR="00A432C1" w:rsidRDefault="00A432C1"/>
    <w:p w14:paraId="4E9B31B9" w14:textId="47187E43" w:rsidR="00992586" w:rsidRDefault="00992586"/>
    <w:sectPr w:rsidR="00992586" w:rsidSect="0067726B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212DA" w14:textId="77777777" w:rsidR="004B32F5" w:rsidRDefault="004B32F5" w:rsidP="0067726B">
      <w:r>
        <w:separator/>
      </w:r>
    </w:p>
  </w:endnote>
  <w:endnote w:type="continuationSeparator" w:id="0">
    <w:p w14:paraId="1AF34CF7" w14:textId="77777777" w:rsidR="004B32F5" w:rsidRDefault="004B32F5" w:rsidP="0067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421248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907EE5" w14:textId="4952EBD1" w:rsidR="0067726B" w:rsidRDefault="0067726B" w:rsidP="00373B8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7A72BD" w14:textId="77777777" w:rsidR="0067726B" w:rsidRDefault="00677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107915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35EDDD" w14:textId="18E95FEC" w:rsidR="0067726B" w:rsidRDefault="0067726B" w:rsidP="00373B8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2C9EA7F" w14:textId="77777777" w:rsidR="0067726B" w:rsidRDefault="00677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1FF07" w14:textId="77777777" w:rsidR="004B32F5" w:rsidRDefault="004B32F5" w:rsidP="0067726B">
      <w:r>
        <w:separator/>
      </w:r>
    </w:p>
  </w:footnote>
  <w:footnote w:type="continuationSeparator" w:id="0">
    <w:p w14:paraId="7D7CDF9E" w14:textId="77777777" w:rsidR="004B32F5" w:rsidRDefault="004B32F5" w:rsidP="00677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20853"/>
    <w:multiLevelType w:val="hybridMultilevel"/>
    <w:tmpl w:val="EEA86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55062"/>
    <w:multiLevelType w:val="hybridMultilevel"/>
    <w:tmpl w:val="38441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779">
    <w:abstractNumId w:val="0"/>
  </w:num>
  <w:num w:numId="2" w16cid:durableId="900018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586"/>
    <w:rsid w:val="0001316E"/>
    <w:rsid w:val="00064CF3"/>
    <w:rsid w:val="000776C9"/>
    <w:rsid w:val="00084A19"/>
    <w:rsid w:val="000911F1"/>
    <w:rsid w:val="000B38A9"/>
    <w:rsid w:val="000E407D"/>
    <w:rsid w:val="00121DE7"/>
    <w:rsid w:val="00123E47"/>
    <w:rsid w:val="00142FFB"/>
    <w:rsid w:val="001501E0"/>
    <w:rsid w:val="00161613"/>
    <w:rsid w:val="00164D6D"/>
    <w:rsid w:val="00172BBD"/>
    <w:rsid w:val="001948BF"/>
    <w:rsid w:val="001A0345"/>
    <w:rsid w:val="001C3D65"/>
    <w:rsid w:val="002165F9"/>
    <w:rsid w:val="002328B4"/>
    <w:rsid w:val="0023571B"/>
    <w:rsid w:val="002B55F8"/>
    <w:rsid w:val="002B7A83"/>
    <w:rsid w:val="002C641F"/>
    <w:rsid w:val="00307C62"/>
    <w:rsid w:val="00364FF0"/>
    <w:rsid w:val="003A321A"/>
    <w:rsid w:val="003A41F3"/>
    <w:rsid w:val="003A5125"/>
    <w:rsid w:val="003B12D0"/>
    <w:rsid w:val="003D082F"/>
    <w:rsid w:val="003F3B1A"/>
    <w:rsid w:val="003F48E3"/>
    <w:rsid w:val="004247DE"/>
    <w:rsid w:val="004B32F5"/>
    <w:rsid w:val="004D2DE5"/>
    <w:rsid w:val="004E2747"/>
    <w:rsid w:val="004E4C0D"/>
    <w:rsid w:val="00552D37"/>
    <w:rsid w:val="00593008"/>
    <w:rsid w:val="005E10DD"/>
    <w:rsid w:val="0067726B"/>
    <w:rsid w:val="006E66FC"/>
    <w:rsid w:val="00700B3E"/>
    <w:rsid w:val="00705843"/>
    <w:rsid w:val="007204A5"/>
    <w:rsid w:val="00722ECC"/>
    <w:rsid w:val="007667CE"/>
    <w:rsid w:val="007F025E"/>
    <w:rsid w:val="00811F75"/>
    <w:rsid w:val="008417A3"/>
    <w:rsid w:val="00873185"/>
    <w:rsid w:val="008A26BA"/>
    <w:rsid w:val="008C1DFF"/>
    <w:rsid w:val="008D40FD"/>
    <w:rsid w:val="0091474F"/>
    <w:rsid w:val="00973469"/>
    <w:rsid w:val="00992586"/>
    <w:rsid w:val="009B4B26"/>
    <w:rsid w:val="009E14ED"/>
    <w:rsid w:val="00A03CF6"/>
    <w:rsid w:val="00A33D07"/>
    <w:rsid w:val="00A432C1"/>
    <w:rsid w:val="00A6694B"/>
    <w:rsid w:val="00A77B1F"/>
    <w:rsid w:val="00AD106C"/>
    <w:rsid w:val="00C124AA"/>
    <w:rsid w:val="00C31987"/>
    <w:rsid w:val="00C55088"/>
    <w:rsid w:val="00C77424"/>
    <w:rsid w:val="00CD4866"/>
    <w:rsid w:val="00D11AB2"/>
    <w:rsid w:val="00D14BCB"/>
    <w:rsid w:val="00D515C5"/>
    <w:rsid w:val="00D84AED"/>
    <w:rsid w:val="00D91095"/>
    <w:rsid w:val="00DB0C99"/>
    <w:rsid w:val="00E52F72"/>
    <w:rsid w:val="00E612E4"/>
    <w:rsid w:val="00EB3A8E"/>
    <w:rsid w:val="00EC3DAD"/>
    <w:rsid w:val="00EE1C69"/>
    <w:rsid w:val="00F23CD3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AECD9"/>
  <w15:chartTrackingRefBased/>
  <w15:docId w15:val="{61E496B4-2793-A441-A381-E1B7DCA2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5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7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7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2FFB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0131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E10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0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0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0DD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77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6B"/>
  </w:style>
  <w:style w:type="character" w:styleId="PageNumber">
    <w:name w:val="page number"/>
    <w:basedOn w:val="DefaultParagraphFont"/>
    <w:uiPriority w:val="99"/>
    <w:semiHidden/>
    <w:unhideWhenUsed/>
    <w:rsid w:val="0067726B"/>
  </w:style>
  <w:style w:type="paragraph" w:styleId="Revision">
    <w:name w:val="Revision"/>
    <w:hidden/>
    <w:uiPriority w:val="99"/>
    <w:semiHidden/>
    <w:rsid w:val="0030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ute-fifty.com/management/2020/12/burnout-crisis-hits-government/170966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s:/www.cms.gov/files/document/hipaaoptouts03182021.pdf__;!!Bg5easoyC-OII2vlEqY8mTBrtW-N4OJKAQ!cTDi1tZ-QHQonb2L6eTLCdRc5GFgMKh9n8ebgr8filpEJdGnOp_UkcwM2SzdhjosRI6SyK2N$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orkplacementalhealth.org/making-the-business-ca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healthaffairs.org/doi/abs/10.1377/hlthaff.25.3.6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lliman.com/-/media/milliman/pdfs/articles/milliman-high-cost-patient-study-2020.ash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Lloyd</dc:creator>
  <cp:keywords/>
  <dc:description/>
  <cp:lastModifiedBy>David Lloyd</cp:lastModifiedBy>
  <cp:revision>9</cp:revision>
  <dcterms:created xsi:type="dcterms:W3CDTF">2022-05-11T15:22:00Z</dcterms:created>
  <dcterms:modified xsi:type="dcterms:W3CDTF">2022-05-11T16:00:00Z</dcterms:modified>
</cp:coreProperties>
</file>